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AF8A" w14:textId="77777777" w:rsidR="0093779A" w:rsidRPr="002A4658" w:rsidRDefault="0093779A" w:rsidP="0093779A">
      <w:pPr>
        <w:spacing w:after="0" w:line="240" w:lineRule="auto"/>
        <w:jc w:val="center"/>
        <w:rPr>
          <w:rFonts w:ascii="Times New Roman" w:eastAsia="Times New Roman" w:hAnsi="Times New Roman" w:cs="Times New Roman"/>
          <w:b/>
          <w:bCs/>
          <w:color w:val="000000"/>
          <w:lang w:eastAsia="ru-RU"/>
        </w:rPr>
      </w:pPr>
    </w:p>
    <w:p w14:paraId="784D46CD" w14:textId="77777777" w:rsidR="0093779A" w:rsidRPr="009D3650" w:rsidRDefault="0093779A" w:rsidP="0093779A">
      <w:pPr>
        <w:spacing w:after="0" w:line="240" w:lineRule="auto"/>
        <w:jc w:val="center"/>
        <w:rPr>
          <w:rFonts w:ascii="Times New Roman" w:eastAsia="Times New Roman" w:hAnsi="Times New Roman" w:cs="Times New Roman"/>
          <w:b/>
          <w:bCs/>
          <w:color w:val="000000"/>
          <w:lang w:val="en-US" w:eastAsia="ru-RU"/>
        </w:rPr>
      </w:pPr>
      <w:r w:rsidRPr="002A4658">
        <w:rPr>
          <w:rFonts w:ascii="Times New Roman" w:eastAsia="Times New Roman" w:hAnsi="Times New Roman" w:cs="Times New Roman"/>
          <w:b/>
          <w:bCs/>
          <w:color w:val="000000"/>
          <w:lang w:val="en-US" w:eastAsia="ru-RU"/>
        </w:rPr>
        <w:t xml:space="preserve">Information Sheet on the Key Terms of the </w:t>
      </w:r>
    </w:p>
    <w:p w14:paraId="47A22879" w14:textId="348E9AA9" w:rsidR="0093779A" w:rsidRPr="002A4658" w:rsidRDefault="0093779A" w:rsidP="0093779A">
      <w:pPr>
        <w:spacing w:after="0" w:line="240" w:lineRule="auto"/>
        <w:jc w:val="center"/>
        <w:rPr>
          <w:rFonts w:ascii="Times New Roman" w:eastAsia="Times New Roman" w:hAnsi="Times New Roman" w:cs="Times New Roman"/>
          <w:b/>
          <w:bCs/>
          <w:caps/>
          <w:lang w:val="en-US" w:eastAsia="ru-RU"/>
        </w:rPr>
      </w:pPr>
      <w:r w:rsidRPr="002A4658">
        <w:rPr>
          <w:rFonts w:ascii="Times New Roman" w:eastAsia="Times New Roman" w:hAnsi="Times New Roman" w:cs="Times New Roman"/>
          <w:b/>
          <w:bCs/>
          <w:color w:val="000000"/>
          <w:lang w:val="en-US" w:eastAsia="ru-RU"/>
        </w:rPr>
        <w:t>“</w:t>
      </w:r>
      <w:r w:rsidR="00600C9B">
        <w:rPr>
          <w:rFonts w:ascii="Times New Roman" w:eastAsia="Times New Roman" w:hAnsi="Times New Roman" w:cs="Times New Roman"/>
          <w:b/>
          <w:bCs/>
          <w:color w:val="000000"/>
          <w:sz w:val="24"/>
          <w:szCs w:val="24"/>
          <w:lang w:eastAsia="ru-RU"/>
        </w:rPr>
        <w:t>Grand 7,5</w:t>
      </w:r>
      <w:r w:rsidRPr="002A4658">
        <w:rPr>
          <w:rFonts w:ascii="Times New Roman" w:eastAsia="Times New Roman" w:hAnsi="Times New Roman" w:cs="Times New Roman"/>
          <w:b/>
          <w:bCs/>
          <w:color w:val="000000"/>
          <w:lang w:val="en-US" w:eastAsia="ru-RU"/>
        </w:rPr>
        <w:t>” Term Deposit</w:t>
      </w:r>
    </w:p>
    <w:tbl>
      <w:tblPr>
        <w:tblW w:w="10978" w:type="dxa"/>
        <w:tblInd w:w="-993" w:type="dxa"/>
        <w:shd w:val="clear" w:color="auto" w:fill="FFFFFF"/>
        <w:tblLayout w:type="fixed"/>
        <w:tblCellMar>
          <w:left w:w="0" w:type="dxa"/>
          <w:right w:w="0" w:type="dxa"/>
        </w:tblCellMar>
        <w:tblLook w:val="04A0" w:firstRow="1" w:lastRow="0" w:firstColumn="1" w:lastColumn="0" w:noHBand="0" w:noVBand="1"/>
      </w:tblPr>
      <w:tblGrid>
        <w:gridCol w:w="1453"/>
        <w:gridCol w:w="442"/>
        <w:gridCol w:w="427"/>
        <w:gridCol w:w="413"/>
        <w:gridCol w:w="402"/>
        <w:gridCol w:w="391"/>
        <w:gridCol w:w="378"/>
        <w:gridCol w:w="369"/>
        <w:gridCol w:w="359"/>
        <w:gridCol w:w="349"/>
        <w:gridCol w:w="340"/>
        <w:gridCol w:w="86"/>
        <w:gridCol w:w="248"/>
        <w:gridCol w:w="331"/>
        <w:gridCol w:w="65"/>
        <w:gridCol w:w="303"/>
        <w:gridCol w:w="639"/>
        <w:gridCol w:w="400"/>
        <w:gridCol w:w="223"/>
        <w:gridCol w:w="223"/>
        <w:gridCol w:w="284"/>
        <w:gridCol w:w="280"/>
        <w:gridCol w:w="273"/>
        <w:gridCol w:w="270"/>
        <w:gridCol w:w="266"/>
        <w:gridCol w:w="267"/>
        <w:gridCol w:w="261"/>
        <w:gridCol w:w="258"/>
        <w:gridCol w:w="256"/>
        <w:gridCol w:w="253"/>
        <w:gridCol w:w="455"/>
        <w:gridCol w:w="14"/>
      </w:tblGrid>
      <w:tr w:rsidR="0093779A" w:rsidRPr="002A4658" w14:paraId="4ED8656C" w14:textId="77777777" w:rsidTr="00236C08">
        <w:trPr>
          <w:gridAfter w:val="1"/>
          <w:wAfter w:w="14" w:type="dxa"/>
          <w:trHeight w:val="320"/>
        </w:trPr>
        <w:tc>
          <w:tcPr>
            <w:tcW w:w="1453" w:type="dxa"/>
            <w:tcBorders>
              <w:top w:val="nil"/>
              <w:left w:val="nil"/>
              <w:bottom w:val="nil"/>
              <w:right w:val="nil"/>
            </w:tcBorders>
            <w:shd w:val="clear" w:color="auto" w:fill="FFFFFF"/>
            <w:tcMar>
              <w:top w:w="15" w:type="dxa"/>
              <w:left w:w="30" w:type="dxa"/>
              <w:bottom w:w="15" w:type="dxa"/>
              <w:right w:w="15" w:type="dxa"/>
            </w:tcMar>
            <w:hideMark/>
          </w:tcPr>
          <w:p w14:paraId="32F789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42" w:type="dxa"/>
            <w:tcBorders>
              <w:top w:val="nil"/>
              <w:left w:val="nil"/>
              <w:bottom w:val="nil"/>
              <w:right w:val="nil"/>
            </w:tcBorders>
            <w:shd w:val="clear" w:color="auto" w:fill="FFFFFF"/>
            <w:tcMar>
              <w:top w:w="15" w:type="dxa"/>
              <w:left w:w="30" w:type="dxa"/>
              <w:bottom w:w="15" w:type="dxa"/>
              <w:right w:w="15" w:type="dxa"/>
            </w:tcMar>
            <w:hideMark/>
          </w:tcPr>
          <w:p w14:paraId="5D6270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27" w:type="dxa"/>
            <w:tcBorders>
              <w:top w:val="nil"/>
              <w:left w:val="nil"/>
              <w:bottom w:val="nil"/>
              <w:right w:val="nil"/>
            </w:tcBorders>
            <w:shd w:val="clear" w:color="auto" w:fill="FFFFFF"/>
            <w:tcMar>
              <w:top w:w="15" w:type="dxa"/>
              <w:left w:w="30" w:type="dxa"/>
              <w:bottom w:w="15" w:type="dxa"/>
              <w:right w:w="15" w:type="dxa"/>
            </w:tcMar>
            <w:hideMark/>
          </w:tcPr>
          <w:p w14:paraId="249413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13" w:type="dxa"/>
            <w:tcBorders>
              <w:top w:val="nil"/>
              <w:left w:val="nil"/>
              <w:bottom w:val="nil"/>
              <w:right w:val="nil"/>
            </w:tcBorders>
            <w:shd w:val="clear" w:color="auto" w:fill="FFFFFF"/>
            <w:tcMar>
              <w:top w:w="15" w:type="dxa"/>
              <w:left w:w="30" w:type="dxa"/>
              <w:bottom w:w="15" w:type="dxa"/>
              <w:right w:w="15" w:type="dxa"/>
            </w:tcMar>
            <w:hideMark/>
          </w:tcPr>
          <w:p w14:paraId="5FC5FDF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2" w:type="dxa"/>
            <w:tcBorders>
              <w:top w:val="nil"/>
              <w:left w:val="nil"/>
              <w:bottom w:val="nil"/>
              <w:right w:val="nil"/>
            </w:tcBorders>
            <w:shd w:val="clear" w:color="auto" w:fill="FFFFFF"/>
            <w:tcMar>
              <w:top w:w="15" w:type="dxa"/>
              <w:left w:w="30" w:type="dxa"/>
              <w:bottom w:w="15" w:type="dxa"/>
              <w:right w:w="15" w:type="dxa"/>
            </w:tcMar>
            <w:hideMark/>
          </w:tcPr>
          <w:p w14:paraId="49ADEC4A"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91" w:type="dxa"/>
            <w:tcBorders>
              <w:top w:val="nil"/>
              <w:left w:val="nil"/>
              <w:bottom w:val="nil"/>
              <w:right w:val="nil"/>
            </w:tcBorders>
            <w:shd w:val="clear" w:color="auto" w:fill="FFFFFF"/>
            <w:tcMar>
              <w:top w:w="15" w:type="dxa"/>
              <w:left w:w="30" w:type="dxa"/>
              <w:bottom w:w="15" w:type="dxa"/>
              <w:right w:w="15" w:type="dxa"/>
            </w:tcMar>
            <w:hideMark/>
          </w:tcPr>
          <w:p w14:paraId="304EA5C1"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78" w:type="dxa"/>
            <w:tcBorders>
              <w:top w:val="nil"/>
              <w:left w:val="nil"/>
              <w:bottom w:val="nil"/>
              <w:right w:val="nil"/>
            </w:tcBorders>
            <w:shd w:val="clear" w:color="auto" w:fill="FFFFFF"/>
            <w:tcMar>
              <w:top w:w="15" w:type="dxa"/>
              <w:left w:w="30" w:type="dxa"/>
              <w:bottom w:w="15" w:type="dxa"/>
              <w:right w:w="15" w:type="dxa"/>
            </w:tcMar>
            <w:hideMark/>
          </w:tcPr>
          <w:p w14:paraId="5439B2E8"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69" w:type="dxa"/>
            <w:tcBorders>
              <w:top w:val="nil"/>
              <w:left w:val="nil"/>
              <w:bottom w:val="nil"/>
              <w:right w:val="nil"/>
            </w:tcBorders>
            <w:shd w:val="clear" w:color="auto" w:fill="FFFFFF"/>
            <w:tcMar>
              <w:top w:w="15" w:type="dxa"/>
              <w:left w:w="30" w:type="dxa"/>
              <w:bottom w:w="15" w:type="dxa"/>
              <w:right w:w="15" w:type="dxa"/>
            </w:tcMar>
            <w:hideMark/>
          </w:tcPr>
          <w:p w14:paraId="449147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59" w:type="dxa"/>
            <w:tcBorders>
              <w:top w:val="nil"/>
              <w:left w:val="nil"/>
              <w:bottom w:val="nil"/>
              <w:right w:val="nil"/>
            </w:tcBorders>
            <w:shd w:val="clear" w:color="auto" w:fill="FFFFFF"/>
            <w:tcMar>
              <w:top w:w="15" w:type="dxa"/>
              <w:left w:w="30" w:type="dxa"/>
              <w:bottom w:w="15" w:type="dxa"/>
              <w:right w:w="15" w:type="dxa"/>
            </w:tcMar>
            <w:hideMark/>
          </w:tcPr>
          <w:p w14:paraId="1469005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9" w:type="dxa"/>
            <w:tcBorders>
              <w:top w:val="nil"/>
              <w:left w:val="nil"/>
              <w:bottom w:val="nil"/>
              <w:right w:val="nil"/>
            </w:tcBorders>
            <w:shd w:val="clear" w:color="auto" w:fill="FFFFFF"/>
            <w:tcMar>
              <w:top w:w="15" w:type="dxa"/>
              <w:left w:w="30" w:type="dxa"/>
              <w:bottom w:w="15" w:type="dxa"/>
              <w:right w:w="15" w:type="dxa"/>
            </w:tcMar>
            <w:hideMark/>
          </w:tcPr>
          <w:p w14:paraId="1B3F836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0" w:type="dxa"/>
            <w:tcBorders>
              <w:top w:val="nil"/>
              <w:left w:val="nil"/>
              <w:bottom w:val="nil"/>
              <w:right w:val="nil"/>
            </w:tcBorders>
            <w:shd w:val="clear" w:color="auto" w:fill="FFFFFF"/>
            <w:tcMar>
              <w:top w:w="15" w:type="dxa"/>
              <w:left w:w="30" w:type="dxa"/>
              <w:bottom w:w="15" w:type="dxa"/>
              <w:right w:w="15" w:type="dxa"/>
            </w:tcMar>
            <w:hideMark/>
          </w:tcPr>
          <w:p w14:paraId="6EA169F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4" w:type="dxa"/>
            <w:gridSpan w:val="2"/>
            <w:tcBorders>
              <w:top w:val="nil"/>
              <w:left w:val="nil"/>
              <w:bottom w:val="nil"/>
              <w:right w:val="nil"/>
            </w:tcBorders>
            <w:shd w:val="clear" w:color="auto" w:fill="FFFFFF"/>
            <w:tcMar>
              <w:top w:w="15" w:type="dxa"/>
              <w:left w:w="30" w:type="dxa"/>
              <w:bottom w:w="15" w:type="dxa"/>
              <w:right w:w="15" w:type="dxa"/>
            </w:tcMar>
            <w:hideMark/>
          </w:tcPr>
          <w:p w14:paraId="416B67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1" w:type="dxa"/>
            <w:tcBorders>
              <w:top w:val="nil"/>
              <w:left w:val="nil"/>
              <w:bottom w:val="nil"/>
              <w:right w:val="nil"/>
            </w:tcBorders>
            <w:shd w:val="clear" w:color="auto" w:fill="FFFFFF"/>
            <w:tcMar>
              <w:top w:w="15" w:type="dxa"/>
              <w:left w:w="30" w:type="dxa"/>
              <w:bottom w:w="15" w:type="dxa"/>
              <w:right w:w="15" w:type="dxa"/>
            </w:tcMar>
            <w:hideMark/>
          </w:tcPr>
          <w:p w14:paraId="507F9DB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5" w:type="dxa"/>
            <w:tcBorders>
              <w:top w:val="nil"/>
              <w:left w:val="nil"/>
              <w:bottom w:val="nil"/>
              <w:right w:val="nil"/>
            </w:tcBorders>
            <w:shd w:val="clear" w:color="auto" w:fill="FFFFFF"/>
            <w:tcMar>
              <w:top w:w="15" w:type="dxa"/>
              <w:left w:w="30" w:type="dxa"/>
              <w:bottom w:w="15" w:type="dxa"/>
              <w:right w:w="15" w:type="dxa"/>
            </w:tcMar>
            <w:hideMark/>
          </w:tcPr>
          <w:p w14:paraId="4AD3019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03" w:type="dxa"/>
            <w:tcBorders>
              <w:top w:val="nil"/>
              <w:left w:val="nil"/>
              <w:bottom w:val="nil"/>
              <w:right w:val="nil"/>
            </w:tcBorders>
            <w:shd w:val="clear" w:color="auto" w:fill="FFFFFF"/>
            <w:tcMar>
              <w:top w:w="15" w:type="dxa"/>
              <w:left w:w="30" w:type="dxa"/>
              <w:bottom w:w="15" w:type="dxa"/>
              <w:right w:w="15" w:type="dxa"/>
            </w:tcMar>
            <w:hideMark/>
          </w:tcPr>
          <w:p w14:paraId="1BF03AC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39" w:type="dxa"/>
            <w:tcBorders>
              <w:top w:val="nil"/>
              <w:left w:val="nil"/>
              <w:bottom w:val="nil"/>
              <w:right w:val="nil"/>
            </w:tcBorders>
            <w:shd w:val="clear" w:color="auto" w:fill="FFFFFF"/>
            <w:tcMar>
              <w:top w:w="15" w:type="dxa"/>
              <w:left w:w="30" w:type="dxa"/>
              <w:bottom w:w="15" w:type="dxa"/>
              <w:right w:w="15" w:type="dxa"/>
            </w:tcMar>
            <w:hideMark/>
          </w:tcPr>
          <w:p w14:paraId="6A0C682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0" w:type="dxa"/>
            <w:tcBorders>
              <w:top w:val="nil"/>
              <w:left w:val="nil"/>
              <w:bottom w:val="nil"/>
              <w:right w:val="nil"/>
            </w:tcBorders>
            <w:shd w:val="clear" w:color="auto" w:fill="FFFFFF"/>
            <w:tcMar>
              <w:top w:w="15" w:type="dxa"/>
              <w:left w:w="30" w:type="dxa"/>
              <w:bottom w:w="15" w:type="dxa"/>
              <w:right w:w="15" w:type="dxa"/>
            </w:tcMar>
            <w:hideMark/>
          </w:tcPr>
          <w:p w14:paraId="79042A9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2FE2797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1E5B5E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4" w:type="dxa"/>
            <w:tcBorders>
              <w:top w:val="nil"/>
              <w:left w:val="nil"/>
              <w:bottom w:val="nil"/>
              <w:right w:val="nil"/>
            </w:tcBorders>
            <w:shd w:val="clear" w:color="auto" w:fill="FFFFFF"/>
            <w:tcMar>
              <w:top w:w="15" w:type="dxa"/>
              <w:left w:w="30" w:type="dxa"/>
              <w:bottom w:w="15" w:type="dxa"/>
              <w:right w:w="15" w:type="dxa"/>
            </w:tcMar>
            <w:hideMark/>
          </w:tcPr>
          <w:p w14:paraId="3244D67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0" w:type="dxa"/>
            <w:tcBorders>
              <w:top w:val="nil"/>
              <w:left w:val="nil"/>
              <w:bottom w:val="nil"/>
              <w:right w:val="nil"/>
            </w:tcBorders>
            <w:shd w:val="clear" w:color="auto" w:fill="FFFFFF"/>
            <w:tcMar>
              <w:top w:w="15" w:type="dxa"/>
              <w:left w:w="30" w:type="dxa"/>
              <w:bottom w:w="15" w:type="dxa"/>
              <w:right w:w="15" w:type="dxa"/>
            </w:tcMar>
            <w:hideMark/>
          </w:tcPr>
          <w:p w14:paraId="15E3C8F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3" w:type="dxa"/>
            <w:tcBorders>
              <w:top w:val="nil"/>
              <w:left w:val="nil"/>
              <w:bottom w:val="nil"/>
              <w:right w:val="nil"/>
            </w:tcBorders>
            <w:shd w:val="clear" w:color="auto" w:fill="FFFFFF"/>
            <w:tcMar>
              <w:top w:w="15" w:type="dxa"/>
              <w:left w:w="30" w:type="dxa"/>
              <w:bottom w:w="15" w:type="dxa"/>
              <w:right w:w="15" w:type="dxa"/>
            </w:tcMar>
            <w:hideMark/>
          </w:tcPr>
          <w:p w14:paraId="5EA1F86F"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0" w:type="dxa"/>
            <w:tcBorders>
              <w:top w:val="nil"/>
              <w:left w:val="nil"/>
              <w:bottom w:val="nil"/>
              <w:right w:val="nil"/>
            </w:tcBorders>
            <w:shd w:val="clear" w:color="auto" w:fill="FFFFFF"/>
            <w:tcMar>
              <w:top w:w="15" w:type="dxa"/>
              <w:left w:w="30" w:type="dxa"/>
              <w:bottom w:w="15" w:type="dxa"/>
              <w:right w:w="15" w:type="dxa"/>
            </w:tcMar>
            <w:hideMark/>
          </w:tcPr>
          <w:p w14:paraId="06C49D7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6" w:type="dxa"/>
            <w:tcBorders>
              <w:top w:val="nil"/>
              <w:left w:val="nil"/>
              <w:bottom w:val="nil"/>
              <w:right w:val="nil"/>
            </w:tcBorders>
            <w:shd w:val="clear" w:color="auto" w:fill="FFFFFF"/>
            <w:tcMar>
              <w:top w:w="15" w:type="dxa"/>
              <w:left w:w="30" w:type="dxa"/>
              <w:bottom w:w="15" w:type="dxa"/>
              <w:right w:w="15" w:type="dxa"/>
            </w:tcMar>
            <w:hideMark/>
          </w:tcPr>
          <w:p w14:paraId="3FD950E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7" w:type="dxa"/>
            <w:tcBorders>
              <w:top w:val="nil"/>
              <w:left w:val="nil"/>
              <w:bottom w:val="nil"/>
              <w:right w:val="nil"/>
            </w:tcBorders>
            <w:shd w:val="clear" w:color="auto" w:fill="FFFFFF"/>
            <w:tcMar>
              <w:top w:w="15" w:type="dxa"/>
              <w:left w:w="30" w:type="dxa"/>
              <w:bottom w:w="15" w:type="dxa"/>
              <w:right w:w="15" w:type="dxa"/>
            </w:tcMar>
            <w:hideMark/>
          </w:tcPr>
          <w:p w14:paraId="0F012E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1" w:type="dxa"/>
            <w:tcBorders>
              <w:top w:val="nil"/>
              <w:left w:val="nil"/>
              <w:bottom w:val="nil"/>
              <w:right w:val="nil"/>
            </w:tcBorders>
            <w:shd w:val="clear" w:color="auto" w:fill="FFFFFF"/>
            <w:tcMar>
              <w:top w:w="15" w:type="dxa"/>
              <w:left w:w="30" w:type="dxa"/>
              <w:bottom w:w="15" w:type="dxa"/>
              <w:right w:w="15" w:type="dxa"/>
            </w:tcMar>
            <w:hideMark/>
          </w:tcPr>
          <w:p w14:paraId="3B59C990"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8" w:type="dxa"/>
            <w:tcBorders>
              <w:top w:val="nil"/>
              <w:left w:val="nil"/>
              <w:bottom w:val="nil"/>
              <w:right w:val="nil"/>
            </w:tcBorders>
            <w:shd w:val="clear" w:color="auto" w:fill="FFFFFF"/>
            <w:tcMar>
              <w:top w:w="15" w:type="dxa"/>
              <w:left w:w="30" w:type="dxa"/>
              <w:bottom w:w="15" w:type="dxa"/>
              <w:right w:w="15" w:type="dxa"/>
            </w:tcMar>
            <w:hideMark/>
          </w:tcPr>
          <w:p w14:paraId="7E967C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6" w:type="dxa"/>
            <w:tcBorders>
              <w:top w:val="nil"/>
              <w:left w:val="nil"/>
              <w:bottom w:val="nil"/>
              <w:right w:val="nil"/>
            </w:tcBorders>
            <w:shd w:val="clear" w:color="auto" w:fill="FFFFFF"/>
            <w:tcMar>
              <w:top w:w="15" w:type="dxa"/>
              <w:left w:w="30" w:type="dxa"/>
              <w:bottom w:w="15" w:type="dxa"/>
              <w:right w:w="15" w:type="dxa"/>
            </w:tcMar>
            <w:hideMark/>
          </w:tcPr>
          <w:p w14:paraId="6E3C604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3" w:type="dxa"/>
            <w:tcBorders>
              <w:top w:val="nil"/>
              <w:left w:val="nil"/>
              <w:bottom w:val="nil"/>
              <w:right w:val="nil"/>
            </w:tcBorders>
            <w:shd w:val="clear" w:color="auto" w:fill="FFFFFF"/>
            <w:tcMar>
              <w:top w:w="15" w:type="dxa"/>
              <w:left w:w="30" w:type="dxa"/>
              <w:bottom w:w="15" w:type="dxa"/>
              <w:right w:w="15" w:type="dxa"/>
            </w:tcMar>
            <w:hideMark/>
          </w:tcPr>
          <w:p w14:paraId="1D46B3A7"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55" w:type="dxa"/>
            <w:tcBorders>
              <w:top w:val="nil"/>
              <w:left w:val="nil"/>
              <w:bottom w:val="nil"/>
              <w:right w:val="nil"/>
            </w:tcBorders>
            <w:shd w:val="clear" w:color="auto" w:fill="FFFFFF"/>
            <w:tcMar>
              <w:top w:w="15" w:type="dxa"/>
              <w:left w:w="30" w:type="dxa"/>
              <w:bottom w:w="15" w:type="dxa"/>
              <w:right w:w="15" w:type="dxa"/>
            </w:tcMar>
            <w:hideMark/>
          </w:tcPr>
          <w:p w14:paraId="3C66CD22"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r>
      <w:tr w:rsidR="0093779A" w:rsidRPr="00600C9B" w14:paraId="1B947BF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EB7B26E"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Name of the Commercial Bank, Official Website, and Telephone Numbers.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84509C4"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JSCB “Universal Bank”</w:t>
            </w:r>
            <w:r w:rsidRPr="002A4658">
              <w:rPr>
                <w:rFonts w:ascii="Times New Roman" w:eastAsia="Times New Roman" w:hAnsi="Times New Roman" w:cs="Times New Roman"/>
                <w:color w:val="000000"/>
                <w:lang w:val="en-US" w:eastAsia="ru-RU"/>
              </w:rPr>
              <w:br/>
              <w:t xml:space="preserve">Website: </w:t>
            </w:r>
            <w:hyperlink r:id="rId5" w:tgtFrame="_new" w:history="1">
              <w:r w:rsidRPr="002A4658">
                <w:rPr>
                  <w:rStyle w:val="a3"/>
                  <w:rFonts w:ascii="Times New Roman" w:eastAsia="Times New Roman" w:hAnsi="Times New Roman" w:cs="Times New Roman"/>
                  <w:lang w:val="en-US" w:eastAsia="ru-RU"/>
                </w:rPr>
                <w:t>www.universalbank.uz</w:t>
              </w:r>
            </w:hyperlink>
            <w:r w:rsidRPr="002A4658">
              <w:rPr>
                <w:rFonts w:ascii="Times New Roman" w:eastAsia="Times New Roman" w:hAnsi="Times New Roman" w:cs="Times New Roman"/>
                <w:color w:val="000000"/>
                <w:lang w:val="en-US" w:eastAsia="ru-RU"/>
              </w:rPr>
              <w:br/>
              <w:t>E-mail: info@universalbank.uz</w:t>
            </w:r>
            <w:r w:rsidRPr="002A4658">
              <w:rPr>
                <w:rFonts w:ascii="Times New Roman" w:eastAsia="Times New Roman" w:hAnsi="Times New Roman" w:cs="Times New Roman"/>
                <w:color w:val="000000"/>
                <w:lang w:val="en-US" w:eastAsia="ru-RU"/>
              </w:rPr>
              <w:br/>
              <w:t>Tel.: +998 71 200-11-10</w:t>
            </w:r>
            <w:r w:rsidRPr="002A4658">
              <w:rPr>
                <w:rFonts w:ascii="Times New Roman" w:eastAsia="Times New Roman" w:hAnsi="Times New Roman" w:cs="Times New Roman"/>
                <w:color w:val="000000"/>
                <w:lang w:val="en-US" w:eastAsia="ru-RU"/>
              </w:rPr>
              <w:br/>
              <w:t>Short Number: 1355</w:t>
            </w:r>
          </w:p>
        </w:tc>
      </w:tr>
      <w:tr w:rsidR="0093779A" w:rsidRPr="00600C9B" w14:paraId="4FFB0D92"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2A63C14A" w14:textId="77777777" w:rsidR="0093779A" w:rsidRPr="002A4658" w:rsidRDefault="0093779A" w:rsidP="00236C08">
            <w:pPr>
              <w:spacing w:after="0" w:line="240" w:lineRule="auto"/>
              <w:ind w:left="2774"/>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333333"/>
                <w:lang w:val="en-US" w:eastAsia="ru-RU"/>
              </w:rPr>
              <w:t>Section 1. Key Terms of the Deposit</w:t>
            </w:r>
          </w:p>
        </w:tc>
      </w:tr>
      <w:tr w:rsidR="0093779A" w:rsidRPr="002A4658" w14:paraId="7DAF67E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D448423"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Name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88E1458" w14:textId="10ECB945"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rPr>
              <w:t>“</w:t>
            </w:r>
            <w:r w:rsidR="004662FF" w:rsidRPr="00762142">
              <w:rPr>
                <w:rFonts w:ascii="Times New Roman" w:eastAsia="Times New Roman" w:hAnsi="Times New Roman" w:cs="Times New Roman"/>
                <w:b/>
                <w:bCs/>
                <w:color w:val="000000"/>
                <w:sz w:val="24"/>
                <w:szCs w:val="24"/>
                <w:lang w:eastAsia="ru-RU"/>
              </w:rPr>
              <w:t xml:space="preserve"> </w:t>
            </w:r>
            <w:r w:rsidR="00600C9B">
              <w:rPr>
                <w:rFonts w:ascii="Times New Roman" w:eastAsia="Times New Roman" w:hAnsi="Times New Roman" w:cs="Times New Roman"/>
                <w:b/>
                <w:bCs/>
                <w:color w:val="000000"/>
                <w:sz w:val="24"/>
                <w:szCs w:val="24"/>
                <w:lang w:eastAsia="ru-RU"/>
              </w:rPr>
              <w:t>Grand 7,5</w:t>
            </w:r>
            <w:r w:rsidRPr="002A4658">
              <w:rPr>
                <w:rFonts w:ascii="Times New Roman" w:hAnsi="Times New Roman" w:cs="Times New Roman"/>
              </w:rPr>
              <w:t>” Term Deposit</w:t>
            </w:r>
          </w:p>
        </w:tc>
      </w:tr>
      <w:tr w:rsidR="0093779A" w:rsidRPr="002A4658" w14:paraId="7F06C8F7"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D3122F1"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Currency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16494B" w14:textId="7E612D76"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Foreign currency — US Dollars</w:t>
            </w:r>
          </w:p>
        </w:tc>
      </w:tr>
      <w:tr w:rsidR="0093779A" w:rsidRPr="00600C9B" w14:paraId="127D8EFD"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2589C59"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Annual Interest Rate on the Deposit (if the interest rate is differentiated or depends on the method of opening the deposit, each rate shall be specified separately)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C72DC78" w14:textId="74AABAF0" w:rsidR="0093779A" w:rsidRPr="00223E28" w:rsidRDefault="00600C9B" w:rsidP="00236C08">
            <w:pPr>
              <w:spacing w:after="0" w:line="240" w:lineRule="auto"/>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sz w:val="24"/>
                <w:szCs w:val="24"/>
                <w:lang w:val="en-US" w:eastAsia="ru-RU"/>
              </w:rPr>
              <w:t>7</w:t>
            </w:r>
            <w:r w:rsidR="004662FF" w:rsidRPr="00223E28">
              <w:rPr>
                <w:rFonts w:ascii="Times New Roman" w:eastAsia="Times New Roman" w:hAnsi="Times New Roman" w:cs="Times New Roman"/>
                <w:b/>
                <w:bCs/>
                <w:color w:val="000000"/>
                <w:sz w:val="24"/>
                <w:szCs w:val="24"/>
                <w:lang w:val="en-US" w:eastAsia="ru-RU"/>
              </w:rPr>
              <w:t>,5 %</w:t>
            </w:r>
            <w:r w:rsidR="0093779A" w:rsidRPr="00223E28">
              <w:rPr>
                <w:rFonts w:ascii="Times New Roman" w:eastAsia="Times New Roman" w:hAnsi="Times New Roman" w:cs="Times New Roman"/>
                <w:b/>
                <w:bCs/>
                <w:color w:val="000000"/>
                <w:lang w:val="en-US" w:eastAsia="ru-RU"/>
              </w:rPr>
              <w:t xml:space="preserve"> percent per annum through Bank offices</w:t>
            </w:r>
          </w:p>
          <w:p w14:paraId="3D80D524" w14:textId="35221989"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r w:rsidR="0093779A" w:rsidRPr="002A4658" w14:paraId="40E3257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E32945"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Interest Capitalization (adding accrued interest to the principal amount with subsequent interest accrual on the increased balance)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6B3201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2A4658" w14:paraId="4018437E"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202907"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 xml:space="preserve">Deposit Term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DD2EE9A" w14:textId="2CEA87B2"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1</w:t>
            </w:r>
            <w:r w:rsidR="00600C9B">
              <w:rPr>
                <w:rFonts w:ascii="Times New Roman" w:eastAsia="Times New Roman" w:hAnsi="Times New Roman" w:cs="Times New Roman"/>
                <w:b/>
                <w:bCs/>
                <w:color w:val="000000"/>
                <w:sz w:val="24"/>
                <w:szCs w:val="24"/>
                <w:lang w:val="en-US" w:eastAsia="ru-RU"/>
              </w:rPr>
              <w:t>5</w:t>
            </w:r>
            <w:r w:rsidRPr="00762142">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val="en-US" w:eastAsia="ru-RU"/>
              </w:rPr>
              <w:t>months</w:t>
            </w:r>
          </w:p>
        </w:tc>
      </w:tr>
      <w:tr w:rsidR="0093779A" w:rsidRPr="004662FF" w14:paraId="41CC2F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DE1FF6D"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Minimum Deposit Amount (if applicable)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21103D0" w14:textId="5DF137DC"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 xml:space="preserve">USD </w:t>
            </w:r>
            <w:r w:rsidR="002B492C">
              <w:rPr>
                <w:rFonts w:ascii="Times New Roman" w:eastAsia="Times New Roman" w:hAnsi="Times New Roman" w:cs="Times New Roman"/>
                <w:b/>
                <w:bCs/>
                <w:color w:val="000000"/>
                <w:sz w:val="24"/>
                <w:szCs w:val="24"/>
                <w:lang w:val="en-US" w:eastAsia="ru-RU"/>
              </w:rPr>
              <w:t>5</w:t>
            </w:r>
            <w:r w:rsidRPr="00762142">
              <w:rPr>
                <w:rFonts w:ascii="Times New Roman" w:eastAsia="Times New Roman" w:hAnsi="Times New Roman" w:cs="Times New Roman"/>
                <w:b/>
                <w:bCs/>
                <w:color w:val="000000"/>
                <w:sz w:val="24"/>
                <w:szCs w:val="24"/>
                <w:lang w:eastAsia="ru-RU"/>
              </w:rPr>
              <w:t>00 (</w:t>
            </w:r>
            <w:r w:rsidR="002B492C">
              <w:rPr>
                <w:rFonts w:ascii="Times New Roman" w:eastAsia="Times New Roman" w:hAnsi="Times New Roman" w:cs="Times New Roman"/>
                <w:b/>
                <w:bCs/>
                <w:color w:val="000000"/>
                <w:sz w:val="24"/>
                <w:szCs w:val="24"/>
                <w:lang w:val="en-US" w:eastAsia="ru-RU"/>
              </w:rPr>
              <w:t>Five</w:t>
            </w:r>
            <w:r w:rsidRPr="00762142">
              <w:rPr>
                <w:rFonts w:ascii="Times New Roman" w:eastAsia="Times New Roman" w:hAnsi="Times New Roman" w:cs="Times New Roman"/>
                <w:b/>
                <w:bCs/>
                <w:color w:val="000000"/>
                <w:sz w:val="24"/>
                <w:szCs w:val="24"/>
                <w:lang w:eastAsia="ru-RU"/>
              </w:rPr>
              <w:t xml:space="preserve"> Hundred)</w:t>
            </w:r>
          </w:p>
        </w:tc>
      </w:tr>
      <w:tr w:rsidR="0093779A" w:rsidRPr="00600C9B" w14:paraId="115E34B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13ECC80"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Frequency of Interest Payments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382130" w14:textId="77777777" w:rsidR="0093779A" w:rsidRPr="002A4658" w:rsidRDefault="0093779A" w:rsidP="00236C08">
            <w:pPr>
              <w:spacing w:after="0" w:line="240" w:lineRule="auto"/>
              <w:rPr>
                <w:rFonts w:ascii="Times New Roman" w:eastAsia="Times New Roman" w:hAnsi="Times New Roman" w:cs="Times New Roman"/>
                <w:color w:val="000000"/>
                <w:lang w:val="uz-Cyrl-UZ" w:eastAsia="ru-RU"/>
              </w:rPr>
            </w:pPr>
            <w:r w:rsidRPr="002A4658">
              <w:rPr>
                <w:rFonts w:ascii="Times New Roman" w:hAnsi="Times New Roman" w:cs="Times New Roman"/>
                <w:lang w:val="en-US"/>
              </w:rPr>
              <w:t>Accrued interest is paid once a month</w:t>
            </w:r>
          </w:p>
        </w:tc>
      </w:tr>
      <w:tr w:rsidR="0093779A" w:rsidRPr="00600C9B" w14:paraId="6DC5A53A"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618F0C6"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Method of Opening the Deposit (online or by visiting the Bank)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D9C0C8" w14:textId="1D058423"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By visiting the Bank’s offices </w:t>
            </w:r>
          </w:p>
        </w:tc>
      </w:tr>
      <w:tr w:rsidR="0093779A" w:rsidRPr="00600C9B" w14:paraId="40AFA2C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260837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 xml:space="preserve">Possibility of Additional Contributions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BA0BE41" w14:textId="0204366F" w:rsidR="0093779A" w:rsidRPr="002B492C" w:rsidRDefault="002B492C" w:rsidP="00236C08">
            <w:pPr>
              <w:spacing w:after="0" w:line="240" w:lineRule="auto"/>
              <w:rPr>
                <w:rFonts w:ascii="Times New Roman" w:eastAsia="Times New Roman" w:hAnsi="Times New Roman" w:cs="Times New Roman"/>
                <w:b/>
                <w:bCs/>
                <w:color w:val="000000"/>
                <w:lang w:val="en-US" w:eastAsia="ru-RU"/>
              </w:rPr>
            </w:pPr>
            <w:r w:rsidRPr="002B492C">
              <w:rPr>
                <w:rFonts w:ascii="Times New Roman" w:hAnsi="Times New Roman" w:cs="Times New Roman"/>
                <w:b/>
                <w:bCs/>
                <w:sz w:val="24"/>
                <w:szCs w:val="24"/>
                <w:lang w:val="en-US"/>
              </w:rPr>
              <w:t>Additional funds may be deposited into the account until the processing of the deposit agreement is suspended.</w:t>
            </w:r>
          </w:p>
        </w:tc>
      </w:tr>
      <w:tr w:rsidR="0093779A" w:rsidRPr="002A4658" w14:paraId="6D642D4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D0453A2"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Automatic Renewal (unilateral extension of the deposit term by the Bank upon maturity)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A092F31"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rPr>
              <w:t>Not available</w:t>
            </w:r>
          </w:p>
        </w:tc>
      </w:tr>
      <w:tr w:rsidR="0093779A" w:rsidRPr="00600C9B" w14:paraId="0CF2B3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29419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r w:rsidRPr="002A4658">
              <w:rPr>
                <w:rFonts w:ascii="Times New Roman" w:hAnsi="Times New Roman" w:cs="Times New Roman"/>
              </w:rPr>
              <w:t>Other Terms and Conditions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4C677E7"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For Depositors who are non-resident individuals, the Bank shall withhold tax from interest (income) paid on the deposit in accordance with Articles 366 and 382 of the Tax Code of the Republic of Uzbekistan.</w:t>
            </w:r>
          </w:p>
        </w:tc>
      </w:tr>
      <w:tr w:rsidR="0093779A" w:rsidRPr="002A4658" w14:paraId="5B07066D"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55D4AD3E" w14:textId="77777777" w:rsidR="0093779A" w:rsidRPr="002A4658" w:rsidRDefault="0093779A" w:rsidP="00236C08">
            <w:pPr>
              <w:spacing w:after="100" w:afterAutospacing="1"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eastAsia="ru-RU"/>
              </w:rPr>
              <w:t>Section 2. Other Important Terms</w:t>
            </w:r>
          </w:p>
        </w:tc>
      </w:tr>
      <w:tr w:rsidR="0093779A" w:rsidRPr="002A4658" w14:paraId="51F9BEF3"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8E7ACF"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the option to partially withdraw deposit funds before the maturity of the deposit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tcPr>
          <w:p w14:paraId="700A30A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eastAsia="ru-RU"/>
              </w:rPr>
              <w:t>Not available</w:t>
            </w:r>
          </w:p>
        </w:tc>
      </w:tr>
      <w:tr w:rsidR="0093779A" w:rsidRPr="00600C9B" w14:paraId="20002B85"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1F5E58"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Procedure for early termination of the Deposit Agreement</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981772B" w14:textId="77777777" w:rsidR="004662FF" w:rsidRPr="00762142" w:rsidRDefault="004662FF" w:rsidP="004662FF">
            <w:pPr>
              <w:spacing w:before="100" w:beforeAutospacing="1" w:after="100" w:afterAutospacing="1"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In case of full early withdrawal of the deposit, interest is paid as follows:</w:t>
            </w:r>
          </w:p>
          <w:p w14:paraId="26C58A2C" w14:textId="778E0649" w:rsidR="004662FF" w:rsidRPr="00762142"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up to </w:t>
            </w:r>
            <w:r w:rsidR="00600C9B">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 xml:space="preserve"> months — </w:t>
            </w:r>
            <w:r w:rsidR="002B492C">
              <w:rPr>
                <w:rFonts w:ascii="Times New Roman" w:eastAsia="Times New Roman" w:hAnsi="Times New Roman" w:cs="Times New Roman"/>
                <w:sz w:val="24"/>
                <w:szCs w:val="24"/>
                <w:lang w:val="en-US" w:eastAsia="zh-CN"/>
              </w:rPr>
              <w:t>0</w:t>
            </w:r>
            <w:r w:rsidRPr="00762142">
              <w:rPr>
                <w:rFonts w:ascii="Times New Roman" w:eastAsia="Times New Roman" w:hAnsi="Times New Roman" w:cs="Times New Roman"/>
                <w:sz w:val="24"/>
                <w:szCs w:val="24"/>
                <w:lang w:val="en-US" w:eastAsia="zh-CN"/>
              </w:rPr>
              <w:t xml:space="preserve">% per annum </w:t>
            </w:r>
          </w:p>
          <w:p w14:paraId="0352782E" w14:textId="30EA6DB8" w:rsidR="004662FF"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from the </w:t>
            </w:r>
            <w:r w:rsidR="00600C9B">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th to the 1</w:t>
            </w:r>
            <w:r w:rsidR="002B492C">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 xml:space="preserve">th month — </w:t>
            </w:r>
            <w:r w:rsidR="002B492C">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 xml:space="preserve">% per annum </w:t>
            </w:r>
          </w:p>
          <w:p w14:paraId="3F4281A6" w14:textId="3CB5FA23" w:rsidR="002B492C" w:rsidRDefault="002B492C"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from the </w:t>
            </w:r>
            <w:r>
              <w:rPr>
                <w:rFonts w:ascii="Times New Roman" w:eastAsia="Times New Roman" w:hAnsi="Times New Roman" w:cs="Times New Roman"/>
                <w:sz w:val="24"/>
                <w:szCs w:val="24"/>
                <w:lang w:val="en-US" w:eastAsia="zh-CN"/>
              </w:rPr>
              <w:t>12</w:t>
            </w:r>
            <w:r w:rsidRPr="00762142">
              <w:rPr>
                <w:rFonts w:ascii="Times New Roman" w:eastAsia="Times New Roman" w:hAnsi="Times New Roman" w:cs="Times New Roman"/>
                <w:sz w:val="24"/>
                <w:szCs w:val="24"/>
                <w:lang w:val="en-US" w:eastAsia="zh-CN"/>
              </w:rPr>
              <w:t>th to the 1</w:t>
            </w:r>
            <w:r w:rsidR="00600C9B">
              <w:rPr>
                <w:rFonts w:ascii="Times New Roman" w:eastAsia="Times New Roman" w:hAnsi="Times New Roman" w:cs="Times New Roman"/>
                <w:sz w:val="24"/>
                <w:szCs w:val="24"/>
                <w:lang w:val="en-US" w:eastAsia="zh-CN"/>
              </w:rPr>
              <w:t>5</w:t>
            </w:r>
            <w:r w:rsidRPr="00762142">
              <w:rPr>
                <w:rFonts w:ascii="Times New Roman" w:eastAsia="Times New Roman" w:hAnsi="Times New Roman" w:cs="Times New Roman"/>
                <w:sz w:val="24"/>
                <w:szCs w:val="24"/>
                <w:lang w:val="en-US" w:eastAsia="zh-CN"/>
              </w:rPr>
              <w:t xml:space="preserve">th month — </w:t>
            </w:r>
            <w:r w:rsidR="00600C9B">
              <w:rPr>
                <w:rFonts w:ascii="Times New Roman" w:eastAsia="Times New Roman" w:hAnsi="Times New Roman" w:cs="Times New Roman"/>
                <w:sz w:val="24"/>
                <w:szCs w:val="24"/>
                <w:lang w:val="en-US" w:eastAsia="zh-CN"/>
              </w:rPr>
              <w:t>4</w:t>
            </w:r>
            <w:r w:rsidRPr="00762142">
              <w:rPr>
                <w:rFonts w:ascii="Times New Roman" w:eastAsia="Times New Roman" w:hAnsi="Times New Roman" w:cs="Times New Roman"/>
                <w:sz w:val="24"/>
                <w:szCs w:val="24"/>
                <w:lang w:val="en-US" w:eastAsia="zh-CN"/>
              </w:rPr>
              <w:t>%</w:t>
            </w:r>
          </w:p>
          <w:p w14:paraId="1F9D9767" w14:textId="7BC5FC77" w:rsidR="002B492C" w:rsidRPr="00762142" w:rsidRDefault="002B492C"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per annum</w:t>
            </w:r>
          </w:p>
          <w:p w14:paraId="761508D1" w14:textId="1D461C3F" w:rsidR="0093779A" w:rsidRPr="002A4658" w:rsidRDefault="004662FF" w:rsidP="004662FF">
            <w:pPr>
              <w:spacing w:after="0" w:line="240" w:lineRule="auto"/>
              <w:rPr>
                <w:rFonts w:ascii="Times New Roman" w:eastAsia="Times New Roman" w:hAnsi="Times New Roman" w:cs="Times New Roman"/>
                <w:color w:val="000000"/>
                <w:lang w:val="en-US" w:eastAsia="ru-RU"/>
              </w:rPr>
            </w:pPr>
            <w:r w:rsidRPr="00762142">
              <w:rPr>
                <w:rFonts w:ascii="Times New Roman" w:eastAsia="Times New Roman" w:hAnsi="Times New Roman" w:cs="Times New Roman"/>
                <w:sz w:val="24"/>
                <w:szCs w:val="24"/>
                <w:lang w:val="en-US" w:eastAsia="zh-CN"/>
              </w:rPr>
              <w:t>For deposits held for the full 1</w:t>
            </w:r>
            <w:r w:rsidR="00600C9B">
              <w:rPr>
                <w:rFonts w:ascii="Times New Roman" w:eastAsia="Times New Roman" w:hAnsi="Times New Roman" w:cs="Times New Roman"/>
                <w:sz w:val="24"/>
                <w:szCs w:val="24"/>
                <w:lang w:val="en-US" w:eastAsia="zh-CN"/>
              </w:rPr>
              <w:t>5</w:t>
            </w:r>
            <w:r w:rsidRPr="00762142">
              <w:rPr>
                <w:rFonts w:ascii="Times New Roman" w:eastAsia="Times New Roman" w:hAnsi="Times New Roman" w:cs="Times New Roman"/>
                <w:sz w:val="24"/>
                <w:szCs w:val="24"/>
                <w:lang w:val="en-US" w:eastAsia="zh-CN"/>
              </w:rPr>
              <w:t xml:space="preserve"> months — </w:t>
            </w:r>
            <w:r w:rsidR="00600C9B">
              <w:rPr>
                <w:rFonts w:ascii="Times New Roman" w:eastAsia="Times New Roman" w:hAnsi="Times New Roman" w:cs="Times New Roman"/>
                <w:sz w:val="24"/>
                <w:szCs w:val="24"/>
                <w:lang w:val="en-US" w:eastAsia="zh-CN"/>
              </w:rPr>
              <w:t>7,</w:t>
            </w:r>
            <w:r w:rsidRPr="00762142">
              <w:rPr>
                <w:rFonts w:ascii="Times New Roman" w:eastAsia="Times New Roman" w:hAnsi="Times New Roman" w:cs="Times New Roman"/>
                <w:sz w:val="24"/>
                <w:szCs w:val="24"/>
                <w:lang w:val="en-US" w:eastAsia="zh-CN"/>
              </w:rPr>
              <w:t>5% per annum</w:t>
            </w:r>
          </w:p>
        </w:tc>
      </w:tr>
      <w:tr w:rsidR="0093779A" w:rsidRPr="00600C9B" w14:paraId="3874691C"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41924EE1" w14:textId="77777777" w:rsidR="0093779A" w:rsidRPr="009D3650" w:rsidRDefault="0093779A" w:rsidP="00236C08">
            <w:pPr>
              <w:spacing w:after="0" w:line="240" w:lineRule="auto"/>
              <w:jc w:val="center"/>
              <w:rPr>
                <w:rFonts w:ascii="Times New Roman" w:eastAsia="Times New Roman" w:hAnsi="Times New Roman" w:cs="Times New Roman"/>
                <w:b/>
                <w:bCs/>
                <w:color w:val="000000"/>
                <w:lang w:val="en-US" w:eastAsia="ru-RU"/>
              </w:rPr>
            </w:pPr>
          </w:p>
          <w:p w14:paraId="24E8E51B"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Carefully review before agreeing to open the deposit!</w:t>
            </w:r>
            <w:r w:rsidRPr="002A4658">
              <w:rPr>
                <w:rFonts w:ascii="Times New Roman" w:eastAsia="Times New Roman" w:hAnsi="Times New Roman" w:cs="Times New Roman"/>
                <w:color w:val="000000"/>
                <w:lang w:val="en-US" w:eastAsia="ru-RU"/>
              </w:rPr>
              <w:br/>
              <w:t>You have the right to obtain complete and detailed information from the Bank regarding the deposit terms, interest income and calculation procedures, as well as your rights and obligations, and any other matters you do not understand.</w:t>
            </w:r>
          </w:p>
          <w:p w14:paraId="15AA0EB5"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If you have any complaints, you may send them to </w:t>
            </w:r>
            <w:r w:rsidRPr="002A4658">
              <w:rPr>
                <w:rFonts w:ascii="Times New Roman" w:eastAsia="Times New Roman" w:hAnsi="Times New Roman" w:cs="Times New Roman"/>
                <w:b/>
                <w:bCs/>
                <w:color w:val="000000"/>
                <w:lang w:val="en-US" w:eastAsia="ru-RU"/>
              </w:rPr>
              <w:t>+99871 200-11-10</w:t>
            </w:r>
            <w:r w:rsidRPr="002A4658">
              <w:rPr>
                <w:rFonts w:ascii="Times New Roman" w:eastAsia="Times New Roman" w:hAnsi="Times New Roman" w:cs="Times New Roman"/>
                <w:color w:val="000000"/>
                <w:lang w:val="en-US" w:eastAsia="ru-RU"/>
              </w:rPr>
              <w:t xml:space="preserve">, to the Bank’s address: Kokand city, Shokhruhobod street, or via email </w:t>
            </w:r>
            <w:r w:rsidRPr="002A4658">
              <w:rPr>
                <w:rFonts w:ascii="Times New Roman" w:eastAsia="Times New Roman" w:hAnsi="Times New Roman" w:cs="Times New Roman"/>
                <w:b/>
                <w:bCs/>
                <w:color w:val="000000"/>
                <w:lang w:val="en-US" w:eastAsia="ru-RU"/>
              </w:rPr>
              <w:t>info@universalbank.uz</w:t>
            </w:r>
            <w:r w:rsidRPr="002A4658">
              <w:rPr>
                <w:rFonts w:ascii="Times New Roman" w:eastAsia="Times New Roman" w:hAnsi="Times New Roman" w:cs="Times New Roman"/>
                <w:color w:val="000000"/>
                <w:lang w:val="en-US" w:eastAsia="ru-RU"/>
              </w:rPr>
              <w:t>.</w:t>
            </w:r>
          </w:p>
          <w:p w14:paraId="3802FDB0"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The accuracy and authenticity of this Information Sheet is confirmed:</w:t>
            </w:r>
          </w:p>
          <w:p w14:paraId="65CB0ACC"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_________________________________________________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____________________</w:t>
            </w:r>
            <w:r w:rsidRPr="002A4658">
              <w:rPr>
                <w:rFonts w:ascii="Times New Roman" w:eastAsia="Times New Roman" w:hAnsi="Times New Roman" w:cs="Times New Roman"/>
                <w:color w:val="000000"/>
                <w:lang w:val="en-US" w:eastAsia="ru-RU"/>
              </w:rPr>
              <w:br/>
              <w:t>(Bank specialist’s full name and position)</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 xml:space="preserve">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(date of completion)</w:t>
            </w:r>
          </w:p>
          <w:p w14:paraId="396A275A"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bl>
    <w:p w14:paraId="64F1209A" w14:textId="77777777" w:rsidR="0093779A" w:rsidRPr="002A4658" w:rsidRDefault="0093779A" w:rsidP="0093779A">
      <w:pPr>
        <w:jc w:val="both"/>
        <w:rPr>
          <w:sz w:val="20"/>
          <w:szCs w:val="20"/>
          <w:lang w:val="en-US"/>
        </w:rPr>
      </w:pPr>
    </w:p>
    <w:p w14:paraId="1E8E11C3" w14:textId="77777777" w:rsidR="0035175F" w:rsidRPr="0093779A" w:rsidRDefault="0035175F">
      <w:pPr>
        <w:rPr>
          <w:lang w:val="en-US"/>
        </w:rPr>
      </w:pPr>
    </w:p>
    <w:sectPr w:rsidR="0035175F" w:rsidRPr="0093779A" w:rsidSect="002B492C">
      <w:pgSz w:w="11906" w:h="16838"/>
      <w:pgMar w:top="0"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16DF4"/>
    <w:multiLevelType w:val="multilevel"/>
    <w:tmpl w:val="02C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B308D"/>
    <w:multiLevelType w:val="multilevel"/>
    <w:tmpl w:val="803C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D3095"/>
    <w:multiLevelType w:val="hybridMultilevel"/>
    <w:tmpl w:val="6F128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13676E"/>
    <w:multiLevelType w:val="hybridMultilevel"/>
    <w:tmpl w:val="639265D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9A"/>
    <w:rsid w:val="00223E28"/>
    <w:rsid w:val="002B492C"/>
    <w:rsid w:val="0035175F"/>
    <w:rsid w:val="004662FF"/>
    <w:rsid w:val="004A5123"/>
    <w:rsid w:val="00600C9B"/>
    <w:rsid w:val="006C58AC"/>
    <w:rsid w:val="0093779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51B6"/>
  <w15:chartTrackingRefBased/>
  <w15:docId w15:val="{35F2609C-9931-4348-A5BF-9396E2AA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79A"/>
    <w:rPr>
      <w:color w:val="0000FF" w:themeColor="hyperlink"/>
      <w:u w:val="single"/>
    </w:rPr>
  </w:style>
  <w:style w:type="paragraph" w:styleId="a4">
    <w:name w:val="List Paragraph"/>
    <w:basedOn w:val="a"/>
    <w:uiPriority w:val="34"/>
    <w:qFormat/>
    <w:rsid w:val="00937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sal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5</cp:revision>
  <dcterms:created xsi:type="dcterms:W3CDTF">2026-06-02T06:54:00Z</dcterms:created>
  <dcterms:modified xsi:type="dcterms:W3CDTF">2026-08-06T05:52:00Z</dcterms:modified>
</cp:coreProperties>
</file>